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</w:p>
    <w:tbl>
      <w:tblPr/>
      <w:tblGrid>
        <w:gridCol w:w="9300"/>
        <w:gridCol w:w="5010"/>
      </w:tblGrid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DOHODA O PRACOVNÍ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ČINNOSTI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uzav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řen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á dle § 76 zákona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č. 262/2006 Sb., z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ákoník práce, v platném zn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ěn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í (dále jen 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“) mezi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390" w:leader="none"/>
              </w:tabs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NÁZEV FIRMY.</w:t>
            </w:r>
          </w:p>
          <w:p>
            <w:pPr>
              <w:tabs>
                <w:tab w:val="left" w:pos="4390" w:leader="none"/>
              </w:tabs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se sídlem _____________________________________</w:t>
            </w:r>
          </w:p>
          <w:p>
            <w:pPr>
              <w:tabs>
                <w:tab w:val="left" w:pos="4887" w:leader="none"/>
              </w:tabs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I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ČO:  </w:t>
            </w:r>
          </w:p>
          <w:p>
            <w:pPr>
              <w:tabs>
                <w:tab w:val="left" w:pos="4887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zastoupena   - jednatelem spole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čnosti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zapsanou v obchodním rejst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ř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íku vedeném _______________________________________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(dále jen “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zam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ěstnavatel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”)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a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260" w:hRule="auto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FFFF00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FFFF00" w:val="clear"/>
              </w:rPr>
              <w:t xml:space="preserve">jméno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datum narození/rodné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íslo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  <w:br/>
              <w:t xml:space="preserve">(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6"/>
                <w:shd w:fill="FFFFFF" w:val="clear"/>
              </w:rPr>
              <w:t xml:space="preserve">„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Zam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ěstnanec”)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300"/>
              <w:ind w:right="0" w:left="0" w:firstLine="0"/>
              <w:jc w:val="left"/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120" w:line="300"/>
              <w:ind w:right="0" w:left="567" w:hanging="567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Čl. I -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Úvodní ustanovení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7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Zam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ěstnanec bude vykon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ávat druh práce: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FFFF00" w:val="clear"/>
              </w:rPr>
              <w:t xml:space="preserve">………</w:t>
            </w:r>
          </w:p>
        </w:tc>
      </w:tr>
      <w:tr>
        <w:trPr>
          <w:trHeight w:val="397" w:hRule="auto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7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Den nástupu do práce je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FFFF00" w:val="clear"/>
              </w:rPr>
              <w:t xml:space="preserve">…….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7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Místem výkonu práce je </w:t>
            </w:r>
            <w:r>
              <w:rPr>
                <w:rFonts w:ascii="Arial" w:hAnsi="Arial" w:cs="Arial" w:eastAsia="Arial"/>
                <w:b/>
                <w:color w:val="202124"/>
                <w:spacing w:val="0"/>
                <w:position w:val="0"/>
                <w:sz w:val="24"/>
                <w:shd w:fill="FFFF00" w:val="clear"/>
              </w:rPr>
              <w:t xml:space="preserve">…MS……….(maximáln</w:t>
            </w:r>
            <w:r>
              <w:rPr>
                <w:rFonts w:ascii="Arial" w:hAnsi="Arial" w:cs="Arial" w:eastAsia="Arial"/>
                <w:b/>
                <w:color w:val="202124"/>
                <w:spacing w:val="0"/>
                <w:position w:val="0"/>
                <w:sz w:val="24"/>
                <w:shd w:fill="FFFF00" w:val="clear"/>
              </w:rPr>
              <w:t xml:space="preserve">ě obec)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7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Pracovní pom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ěr se sjedn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ává na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dobu ur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čitou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, a to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od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FFFF00" w:val="clear"/>
              </w:rPr>
              <w:t xml:space="preserve">………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do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FFFF00" w:val="clear"/>
              </w:rPr>
              <w:t xml:space="preserve">………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7"/>
              </w:numPr>
              <w:spacing w:before="0" w:after="120" w:line="300"/>
              <w:ind w:right="0" w:left="720" w:hanging="360"/>
              <w:jc w:val="both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Zam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ěstnanec souhlas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 s vysláním na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pracovní cestu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k výkonu práce mimo sjednané místo výkonu práce, a to na nezbytnou dobu a jakýmkoliv dopravním prost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ředkem, určen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ým zam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ěstnavatelem.</w:t>
            </w:r>
          </w:p>
          <w:p>
            <w:pPr>
              <w:spacing w:before="0" w:after="120" w:line="300"/>
              <w:ind w:right="0" w:left="36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300"/>
              <w:ind w:right="0" w:left="567" w:hanging="567"/>
              <w:jc w:val="center"/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Čl. II</w:t>
            </w:r>
          </w:p>
          <w:p>
            <w:pPr>
              <w:spacing w:before="0" w:after="120" w:line="300"/>
              <w:ind w:right="0" w:left="567" w:hanging="567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Odpov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ědnost a pracovn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 úkoly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Zam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ěstnanec mus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 plnit pracovní úkoly v oblasti své odpov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ědnosti tak, jak jsou stanoveny v popisu pr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áce, stanoveném a pr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ůběžně aktualizovan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ém zam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ěstnavatelem.</w:t>
            </w:r>
          </w:p>
        </w:tc>
      </w:tr>
      <w:tr>
        <w:trPr>
          <w:trHeight w:val="719" w:hRule="auto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Zam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ěstnanec je zodpovědn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ý zejména, nikoliv v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šak v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ýlu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čně, za plněn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 následujících úkol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ů pro zaměstnavatele: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FFFF00" w:val="clear"/>
              </w:rPr>
              <w:t xml:space="preserve">N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FFFF00" w:val="clear"/>
              </w:rPr>
              <w:t xml:space="preserve">ÁZEV PRACOVNÍ POZICE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Zam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ěstnanec bude dodržovat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racovn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ř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ád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, který vydal zam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ěstnavatel. V př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ípad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 rozporů mezi podm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ínkami této dohody a obsahem vnit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řn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ích sm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ěrnic jsou podm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ínky této dohody rozhodující. 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300"/>
              <w:ind w:right="0" w:left="567" w:hanging="567"/>
              <w:jc w:val="center"/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Čl. III</w:t>
            </w:r>
          </w:p>
          <w:p>
            <w:pPr>
              <w:spacing w:before="0" w:after="120" w:line="300"/>
              <w:ind w:right="0" w:left="567" w:hanging="567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Odm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ěna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2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Zam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ěstnavatel a zaměstnanec se dohodli na hrub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é odm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ěně ve v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ý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ši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FFFF00" w:val="clear"/>
              </w:rPr>
              <w:t xml:space="preserve">……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FFFF00" w:val="clear"/>
              </w:rPr>
              <w:t xml:space="preserve">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FFFFFF" w:val="clear"/>
              </w:rPr>
              <w:t xml:space="preserve">Kč/hod.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2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 odm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ěna bude vypl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ácena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25. dne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následujícího kalendá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řn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ího 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íce.</w:t>
            </w:r>
          </w:p>
        </w:tc>
      </w:tr>
      <w:tr>
        <w:trPr>
          <w:trHeight w:val="735" w:hRule="auto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2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Odm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ěna bude vypl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ácena zam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ěstnanci v term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ínu dle odst. 2 tohoto 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čl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ánku bezhotovostním p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řevodem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300"/>
              <w:ind w:right="0" w:left="72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300"/>
              <w:ind w:right="0" w:left="567" w:hanging="567"/>
              <w:jc w:val="center"/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Čl. IV</w:t>
            </w:r>
          </w:p>
          <w:p>
            <w:pPr>
              <w:spacing w:before="0" w:after="120" w:line="300"/>
              <w:ind w:right="0" w:left="567" w:hanging="567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Pracovní doba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4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Zam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ěstnanec bude sjednan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é práce vykonávat v pracovních dnech, p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řičemž zač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átky a konce výkonu práce v jednotlivých dnech ur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 zam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ěstnanci zaměstnavatel. Rozsah pracovn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 doby ve sjednaném období nep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řekroč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hodin týdn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300"/>
              <w:ind w:right="0" w:left="72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300"/>
              <w:ind w:right="0" w:left="567" w:hanging="567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Čl. 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končen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 dohody</w:t>
            </w:r>
          </w:p>
        </w:tc>
      </w:tr>
      <w:tr>
        <w:trPr>
          <w:trHeight w:val="2909" w:hRule="auto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1"/>
              </w:numPr>
              <w:spacing w:before="0" w:after="120" w:line="300"/>
              <w:ind w:right="0" w:left="720" w:hanging="360"/>
              <w:jc w:val="both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Tato dohoda 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ůže b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ýt ukon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čena oběma smluvn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ími stranami dle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§ 77 odst. 5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ZP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:</w:t>
            </w:r>
          </w:p>
          <w:p>
            <w:pPr>
              <w:numPr>
                <w:ilvl w:val="0"/>
                <w:numId w:val="71"/>
              </w:numPr>
              <w:spacing w:before="0" w:after="120" w:line="300"/>
              <w:ind w:right="0" w:left="1080" w:hanging="360"/>
              <w:jc w:val="both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dohodou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smluvních stran ke sjednanému dni;</w:t>
            </w:r>
          </w:p>
          <w:p>
            <w:pPr>
              <w:numPr>
                <w:ilvl w:val="0"/>
                <w:numId w:val="71"/>
              </w:numPr>
              <w:spacing w:before="0" w:after="120" w:line="300"/>
              <w:ind w:right="0" w:left="1080" w:hanging="360"/>
              <w:jc w:val="both"/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výpov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ěd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danou z jakéhokoliv d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ůvodu nebo bez uveden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 d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ůvodu s 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patn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áctidenní výpov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ědn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 dobou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, která za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íná dnem, v 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ěmž byla v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ýpov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ěď doručena druh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é smluvní stran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ě;</w:t>
            </w:r>
          </w:p>
          <w:p>
            <w:pPr>
              <w:numPr>
                <w:ilvl w:val="0"/>
                <w:numId w:val="71"/>
              </w:numPr>
              <w:spacing w:before="0" w:after="120" w:line="300"/>
              <w:ind w:right="0" w:left="108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okam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žit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ým zru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šen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ím pracovního pom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ěru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ze strany zaměstnavatele či zaměstnance dle 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§ 77 odst.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písm. c) ve spojení s § 55 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–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56 ZP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74" w:hRule="auto"/>
          <w:jc w:val="left"/>
        </w:trPr>
        <w:tc>
          <w:tcPr>
            <w:tcW w:w="1431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846" w:hanging="628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300"/>
              <w:ind w:right="0" w:left="567" w:hanging="567"/>
              <w:jc w:val="center"/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Čl. VIII</w:t>
            </w:r>
          </w:p>
          <w:p>
            <w:pPr>
              <w:spacing w:before="0" w:after="120" w:line="300"/>
              <w:ind w:right="0" w:left="567" w:hanging="567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Ostatní ujednání</w:t>
            </w:r>
          </w:p>
        </w:tc>
      </w:tr>
      <w:tr>
        <w:trPr>
          <w:trHeight w:val="1080" w:hRule="auto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1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Zam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ěstnanec t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ímto ud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ěluje souhlas se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zpracov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áním osobních údaj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ů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pro 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ú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čely person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ální a mzdové agendy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prost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řednictv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ím Osobního dotazníku, který je nedílnou sou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ástí této Dohody o pracovní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činnosti.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6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Podpisem této dohody zam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ěstnanec prohlašuje, že byl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sezn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ámen s právy a povinnostmi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, které pro 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ěj vypl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ývají z této dohody, zejména s pracovními a mzdovými podmínkami, za nich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ž m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 práci vykonávat, a dále 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že byl ř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ádn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 sezn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ámen s pravidly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bezpe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čnosti a ochrany zdrav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 p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ři pr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áci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. 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6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Tato dohoda je platná dnem jejího podpisu ob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ěma smluvn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ími stranami.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6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Tuto dohodu lze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m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ěnit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pouze na z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áklad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ě p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ísemných dodatk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ů vzestupně oč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íslovaných.</w:t>
            </w:r>
          </w:p>
        </w:tc>
      </w:tr>
      <w:tr>
        <w:trPr>
          <w:trHeight w:val="1" w:hRule="atLeast"/>
          <w:jc w:val="left"/>
        </w:trPr>
        <w:tc>
          <w:tcPr>
            <w:tcW w:w="9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6"/>
              </w:numPr>
              <w:spacing w:before="0" w:after="120" w:line="300"/>
              <w:ind w:right="0" w:left="720" w:hanging="36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Tato dohoda je vyhotovena ve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2 vyhotoveních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, p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řičemž každ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á ze smluvních stran obdr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ž</w:t>
            </w:r>
            <w:r>
              <w:rPr>
                <w:rFonts w:ascii="Cambria" w:hAnsi="Cambria" w:cs="Cambria" w:eastAsia="Cambria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 po jednom vyhotovení.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4602"/>
        <w:gridCol w:w="4603"/>
      </w:tblGrid>
      <w:tr>
        <w:trPr>
          <w:trHeight w:val="1" w:hRule="atLeast"/>
          <w:jc w:val="left"/>
        </w:trPr>
        <w:tc>
          <w:tcPr>
            <w:tcW w:w="4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Za zam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ěstnavatele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Zam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ěstnanec</w:t>
            </w:r>
          </w:p>
        </w:tc>
      </w:tr>
      <w:tr>
        <w:trPr>
          <w:trHeight w:val="242" w:hRule="auto"/>
          <w:jc w:val="left"/>
        </w:trPr>
        <w:tc>
          <w:tcPr>
            <w:tcW w:w="4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V ___________________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FFFF00" w:val="clear"/>
              </w:rPr>
              <w:t xml:space="preserve">……..</w:t>
            </w:r>
          </w:p>
        </w:tc>
        <w:tc>
          <w:tcPr>
            <w:tcW w:w="4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V ______________________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FFFF00" w:val="clear"/>
              </w:rPr>
              <w:t xml:space="preserve">……..</w:t>
            </w:r>
          </w:p>
        </w:tc>
      </w:tr>
      <w:tr>
        <w:trPr>
          <w:trHeight w:val="1" w:hRule="atLeast"/>
          <w:jc w:val="left"/>
        </w:trPr>
        <w:tc>
          <w:tcPr>
            <w:tcW w:w="4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</w:t>
            </w:r>
          </w:p>
        </w:tc>
        <w:tc>
          <w:tcPr>
            <w:tcW w:w="4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</w:t>
            </w:r>
          </w:p>
        </w:tc>
      </w:tr>
      <w:tr>
        <w:trPr>
          <w:trHeight w:val="227" w:hRule="auto"/>
          <w:jc w:val="left"/>
        </w:trPr>
        <w:tc>
          <w:tcPr>
            <w:tcW w:w="46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jednatel</w:t>
            </w:r>
          </w:p>
        </w:tc>
        <w:tc>
          <w:tcPr>
            <w:tcW w:w="46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FFFF00" w:val="clear"/>
              </w:rPr>
              <w:t xml:space="preserve">………..</w:t>
            </w:r>
          </w:p>
        </w:tc>
      </w:tr>
    </w:tbl>
    <w:p>
      <w:pPr>
        <w:spacing w:before="0" w:after="120" w:line="30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30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30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ílohy:</w:t>
      </w:r>
    </w:p>
    <w:p>
      <w:pPr>
        <w:spacing w:before="0" w:after="120" w:line="30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Osobní dotazník</w:t>
      </w:r>
    </w:p>
    <w:p>
      <w:pPr>
        <w:spacing w:before="0" w:after="120" w:line="30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num w:numId="27">
    <w:abstractNumId w:val="102"/>
  </w:num>
  <w:num w:numId="30">
    <w:abstractNumId w:val="96"/>
  </w:num>
  <w:num w:numId="33">
    <w:abstractNumId w:val="90"/>
  </w:num>
  <w:num w:numId="35">
    <w:abstractNumId w:val="84"/>
  </w:num>
  <w:num w:numId="37">
    <w:abstractNumId w:val="78"/>
  </w:num>
  <w:num w:numId="42">
    <w:abstractNumId w:val="72"/>
  </w:num>
  <w:num w:numId="45">
    <w:abstractNumId w:val="66"/>
  </w:num>
  <w:num w:numId="48">
    <w:abstractNumId w:val="60"/>
  </w:num>
  <w:num w:numId="52">
    <w:abstractNumId w:val="54"/>
  </w:num>
  <w:num w:numId="54">
    <w:abstractNumId w:val="48"/>
  </w:num>
  <w:num w:numId="57">
    <w:abstractNumId w:val="42"/>
  </w:num>
  <w:num w:numId="64">
    <w:abstractNumId w:val="36"/>
  </w:num>
  <w:num w:numId="71">
    <w:abstractNumId w:val="30"/>
  </w:num>
  <w:num w:numId="81">
    <w:abstractNumId w:val="24"/>
  </w:num>
  <w:num w:numId="86">
    <w:abstractNumId w:val="18"/>
  </w:num>
  <w:num w:numId="88">
    <w:abstractNumId w:val="12"/>
  </w:num>
  <w:num w:numId="90">
    <w:abstractNumId w:val="6"/>
  </w:num>
  <w:num w:numId="9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